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CF3F1B">
        <w:rPr>
          <w:b/>
          <w:sz w:val="24"/>
        </w:rPr>
        <w:t>A-2010-2152506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CF3F1B">
        <w:rPr>
          <w:sz w:val="24"/>
        </w:rPr>
        <w:t>Clearview Electric, Inc.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CF3F1B">
        <w:rPr>
          <w:b/>
          <w:sz w:val="24"/>
        </w:rPr>
        <w:t>6</w:t>
      </w:r>
      <w:r w:rsidR="00CF3F1B" w:rsidRPr="00CF3F1B">
        <w:rPr>
          <w:b/>
          <w:sz w:val="24"/>
          <w:vertAlign w:val="superscript"/>
        </w:rPr>
        <w:t>th</w:t>
      </w:r>
      <w:r w:rsidR="00CF3F1B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CF3F1B">
        <w:rPr>
          <w:b/>
          <w:sz w:val="24"/>
        </w:rPr>
        <w:t>May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CF3F1B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CF3F1B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2010-05-07T14:50:00Z</cp:lastPrinted>
  <dcterms:created xsi:type="dcterms:W3CDTF">2010-05-07T14:50:00Z</dcterms:created>
  <dcterms:modified xsi:type="dcterms:W3CDTF">2010-05-07T14:50:00Z</dcterms:modified>
</cp:coreProperties>
</file>